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D3" w:rsidRPr="00E549D3" w:rsidRDefault="00E549D3" w:rsidP="00E549D3">
      <w:pPr>
        <w:suppressAutoHyphens/>
        <w:spacing w:after="0" w:line="240" w:lineRule="auto"/>
        <w:ind w:right="1"/>
        <w:jc w:val="center"/>
        <w:rPr>
          <w:rFonts w:ascii="Times New Roman" w:eastAsia="Times New Roman" w:hAnsi="Times New Roman" w:cs="Times New Roman"/>
          <w:b/>
          <w:sz w:val="28"/>
          <w:szCs w:val="20"/>
          <w:lang w:eastAsia="zh-CN"/>
        </w:rPr>
      </w:pPr>
      <w:r w:rsidRPr="00E549D3">
        <w:rPr>
          <w:rFonts w:ascii="Courier New" w:eastAsia="Times New Roman" w:hAnsi="Courier New" w:cs="Courier New"/>
          <w:noProof/>
          <w:spacing w:val="20"/>
          <w:sz w:val="32"/>
          <w:szCs w:val="20"/>
          <w:lang w:eastAsia="ru-RU"/>
        </w:rPr>
        <w:drawing>
          <wp:inline distT="0" distB="0" distL="0" distR="0">
            <wp:extent cx="6762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solidFill>
                      <a:srgbClr val="FFFFFF"/>
                    </a:solidFill>
                    <a:ln>
                      <a:noFill/>
                    </a:ln>
                  </pic:spPr>
                </pic:pic>
              </a:graphicData>
            </a:graphic>
          </wp:inline>
        </w:drawing>
      </w:r>
    </w:p>
    <w:p w:rsidR="00E549D3" w:rsidRPr="00E549D3" w:rsidRDefault="00E549D3" w:rsidP="00E549D3">
      <w:pPr>
        <w:suppressAutoHyphens/>
        <w:spacing w:after="0" w:line="240" w:lineRule="auto"/>
        <w:ind w:right="1"/>
        <w:jc w:val="center"/>
        <w:rPr>
          <w:rFonts w:ascii="Times New Roman" w:eastAsia="Times New Roman" w:hAnsi="Times New Roman" w:cs="Times New Roman"/>
          <w:sz w:val="32"/>
          <w:szCs w:val="20"/>
          <w:lang w:eastAsia="zh-CN"/>
        </w:rPr>
      </w:pPr>
      <w:r w:rsidRPr="00E549D3">
        <w:rPr>
          <w:rFonts w:ascii="Times New Roman" w:eastAsia="Times New Roman" w:hAnsi="Times New Roman" w:cs="Times New Roman"/>
          <w:b/>
          <w:sz w:val="28"/>
          <w:szCs w:val="20"/>
          <w:lang w:eastAsia="zh-CN"/>
        </w:rPr>
        <w:t>САРАТОВСКАЯ ОБЛАСТЬ</w:t>
      </w:r>
    </w:p>
    <w:p w:rsidR="00E549D3" w:rsidRPr="00E549D3" w:rsidRDefault="00E549D3" w:rsidP="00E549D3">
      <w:pPr>
        <w:suppressAutoHyphens/>
        <w:spacing w:after="0" w:line="240" w:lineRule="auto"/>
        <w:ind w:right="1"/>
        <w:jc w:val="center"/>
        <w:rPr>
          <w:rFonts w:ascii="Times New Roman" w:eastAsia="Times New Roman" w:hAnsi="Times New Roman" w:cs="Times New Roman"/>
          <w:sz w:val="32"/>
          <w:szCs w:val="20"/>
          <w:lang w:eastAsia="zh-CN"/>
        </w:rPr>
      </w:pPr>
      <w:r w:rsidRPr="00E549D3">
        <w:rPr>
          <w:rFonts w:ascii="Times New Roman" w:eastAsia="Times New Roman" w:hAnsi="Times New Roman" w:cs="Times New Roman"/>
          <w:b/>
          <w:sz w:val="28"/>
          <w:szCs w:val="20"/>
          <w:lang w:eastAsia="zh-CN"/>
        </w:rPr>
        <w:t>АТКАРСКИЙ МУНИЦИПАЛЬНЫЙ РАЙОН</w:t>
      </w:r>
    </w:p>
    <w:p w:rsidR="00E549D3" w:rsidRPr="00E549D3" w:rsidRDefault="00E549D3" w:rsidP="00E549D3">
      <w:pPr>
        <w:suppressAutoHyphens/>
        <w:spacing w:after="0" w:line="240" w:lineRule="auto"/>
        <w:ind w:right="1"/>
        <w:jc w:val="center"/>
        <w:rPr>
          <w:rFonts w:ascii="Times New Roman" w:eastAsia="Times New Roman" w:hAnsi="Times New Roman" w:cs="Times New Roman"/>
          <w:sz w:val="32"/>
          <w:szCs w:val="20"/>
          <w:lang w:eastAsia="zh-CN"/>
        </w:rPr>
      </w:pPr>
      <w:r w:rsidRPr="00E549D3">
        <w:rPr>
          <w:rFonts w:ascii="Times New Roman" w:eastAsia="Times New Roman" w:hAnsi="Times New Roman" w:cs="Times New Roman"/>
          <w:b/>
          <w:sz w:val="28"/>
          <w:szCs w:val="20"/>
          <w:lang w:eastAsia="zh-CN"/>
        </w:rPr>
        <w:t>АТКАРСКОЕ МУНИЦИПАЛЬНОЕ СОБРАНИЕ</w:t>
      </w:r>
    </w:p>
    <w:p w:rsidR="00E549D3" w:rsidRPr="00E549D3" w:rsidRDefault="00E549D3" w:rsidP="00E549D3">
      <w:pPr>
        <w:suppressAutoHyphens/>
        <w:spacing w:after="0" w:line="240" w:lineRule="auto"/>
        <w:ind w:right="1"/>
        <w:jc w:val="center"/>
        <w:rPr>
          <w:rFonts w:ascii="Times New Roman" w:eastAsia="Times New Roman" w:hAnsi="Times New Roman" w:cs="Times New Roman"/>
          <w:sz w:val="32"/>
          <w:szCs w:val="20"/>
          <w:lang w:eastAsia="zh-CN"/>
        </w:rPr>
      </w:pPr>
      <w:r w:rsidRPr="00E549D3">
        <w:rPr>
          <w:rFonts w:ascii="Times New Roman" w:eastAsia="Times New Roman" w:hAnsi="Times New Roman" w:cs="Times New Roman"/>
          <w:b/>
          <w:sz w:val="28"/>
          <w:szCs w:val="20"/>
          <w:lang w:eastAsia="zh-CN"/>
        </w:rPr>
        <w:t>ШЕСТОГО СОЗЫВА</w:t>
      </w:r>
    </w:p>
    <w:p w:rsidR="00E549D3" w:rsidRPr="00E549D3" w:rsidRDefault="00E549D3" w:rsidP="00E549D3">
      <w:pPr>
        <w:suppressAutoHyphens/>
        <w:spacing w:after="0" w:line="240" w:lineRule="auto"/>
        <w:ind w:right="1"/>
        <w:jc w:val="center"/>
        <w:rPr>
          <w:rFonts w:ascii="Times New Roman" w:eastAsia="Times New Roman" w:hAnsi="Times New Roman" w:cs="Times New Roman"/>
          <w:b/>
          <w:sz w:val="28"/>
          <w:szCs w:val="28"/>
          <w:lang w:eastAsia="zh-CN"/>
        </w:rPr>
      </w:pPr>
      <w:r w:rsidRPr="00E549D3">
        <w:rPr>
          <w:rFonts w:ascii="Times New Roman" w:eastAsia="Times New Roman" w:hAnsi="Times New Roman" w:cs="Times New Roman"/>
          <w:b/>
          <w:sz w:val="28"/>
          <w:szCs w:val="28"/>
          <w:lang w:eastAsia="zh-CN"/>
        </w:rPr>
        <w:t>Шестое заседание</w:t>
      </w:r>
    </w:p>
    <w:p w:rsidR="00E549D3" w:rsidRPr="00E549D3" w:rsidRDefault="00E549D3" w:rsidP="00E549D3">
      <w:pPr>
        <w:suppressAutoHyphens/>
        <w:spacing w:after="0" w:line="240" w:lineRule="auto"/>
        <w:ind w:right="1"/>
        <w:jc w:val="center"/>
        <w:rPr>
          <w:rFonts w:ascii="Times New Roman" w:eastAsia="Times New Roman" w:hAnsi="Times New Roman" w:cs="Times New Roman"/>
          <w:b/>
          <w:sz w:val="28"/>
          <w:szCs w:val="28"/>
          <w:lang w:eastAsia="zh-CN"/>
        </w:rPr>
      </w:pPr>
      <w:r w:rsidRPr="00E549D3">
        <w:rPr>
          <w:rFonts w:ascii="Times New Roman" w:eastAsia="Times New Roman" w:hAnsi="Times New Roman" w:cs="Times New Roman"/>
          <w:b/>
          <w:sz w:val="28"/>
          <w:szCs w:val="28"/>
          <w:lang w:eastAsia="zh-CN"/>
        </w:rPr>
        <w:t>РЕШЕНИЕ</w:t>
      </w:r>
    </w:p>
    <w:p w:rsidR="00E549D3" w:rsidRPr="00E549D3" w:rsidRDefault="00E549D3" w:rsidP="00E549D3">
      <w:pPr>
        <w:suppressAutoHyphens/>
        <w:spacing w:after="0" w:line="240" w:lineRule="auto"/>
        <w:ind w:right="1"/>
        <w:jc w:val="center"/>
        <w:rPr>
          <w:rFonts w:ascii="Times New Roman" w:eastAsia="Times New Roman" w:hAnsi="Times New Roman" w:cs="Times New Roman"/>
          <w:b/>
          <w:sz w:val="16"/>
          <w:szCs w:val="16"/>
          <w:lang w:eastAsia="zh-CN"/>
        </w:rPr>
      </w:pPr>
    </w:p>
    <w:p w:rsidR="00E549D3" w:rsidRPr="00E549D3" w:rsidRDefault="00E549D3" w:rsidP="00E549D3">
      <w:pPr>
        <w:suppressAutoHyphens/>
        <w:spacing w:after="0" w:line="240" w:lineRule="auto"/>
        <w:ind w:right="1"/>
        <w:rPr>
          <w:rFonts w:ascii="Times New Roman" w:eastAsia="Times New Roman" w:hAnsi="Times New Roman" w:cs="Times New Roman"/>
          <w:sz w:val="28"/>
          <w:szCs w:val="28"/>
          <w:lang w:eastAsia="zh-CN"/>
        </w:rPr>
      </w:pPr>
      <w:r w:rsidRPr="00E549D3">
        <w:rPr>
          <w:rFonts w:ascii="Times New Roman" w:eastAsia="Times New Roman" w:hAnsi="Times New Roman" w:cs="Times New Roman"/>
          <w:b/>
          <w:sz w:val="28"/>
          <w:szCs w:val="28"/>
          <w:lang w:eastAsia="zh-CN"/>
        </w:rPr>
        <w:t>От 26.01.2024 г. № 104</w:t>
      </w:r>
    </w:p>
    <w:p w:rsidR="00E549D3" w:rsidRPr="00E549D3" w:rsidRDefault="00E549D3" w:rsidP="00E549D3">
      <w:pPr>
        <w:suppressAutoHyphens/>
        <w:spacing w:after="0" w:line="240" w:lineRule="auto"/>
        <w:ind w:right="850"/>
        <w:jc w:val="center"/>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г. Аткарск</w:t>
      </w:r>
    </w:p>
    <w:p w:rsidR="00E549D3" w:rsidRPr="00E549D3" w:rsidRDefault="00E549D3" w:rsidP="00E549D3">
      <w:pPr>
        <w:suppressAutoHyphens/>
        <w:spacing w:after="0" w:line="240" w:lineRule="auto"/>
        <w:ind w:right="850"/>
        <w:jc w:val="center"/>
        <w:rPr>
          <w:rFonts w:ascii="Times New Roman" w:eastAsia="Times New Roman" w:hAnsi="Times New Roman" w:cs="Times New Roman"/>
          <w:sz w:val="16"/>
          <w:szCs w:val="16"/>
          <w:lang w:eastAsia="zh-CN"/>
        </w:rPr>
      </w:pPr>
    </w:p>
    <w:p w:rsidR="00E549D3" w:rsidRPr="00E549D3" w:rsidRDefault="00E549D3" w:rsidP="00E549D3">
      <w:pPr>
        <w:tabs>
          <w:tab w:val="center" w:pos="4536"/>
          <w:tab w:val="right" w:pos="9072"/>
        </w:tabs>
        <w:suppressAutoHyphens/>
        <w:spacing w:after="0" w:line="240" w:lineRule="auto"/>
        <w:ind w:right="3119"/>
        <w:jc w:val="both"/>
        <w:rPr>
          <w:rFonts w:ascii="Times New Roman" w:eastAsia="Times New Roman" w:hAnsi="Times New Roman" w:cs="Times New Roman"/>
          <w:b/>
          <w:sz w:val="27"/>
          <w:szCs w:val="27"/>
          <w:lang w:eastAsia="zh-CN"/>
        </w:rPr>
      </w:pPr>
      <w:r w:rsidRPr="00E549D3">
        <w:rPr>
          <w:rFonts w:ascii="Times New Roman" w:eastAsia="Times New Roman" w:hAnsi="Times New Roman" w:cs="Times New Roman"/>
          <w:b/>
          <w:sz w:val="27"/>
          <w:szCs w:val="27"/>
          <w:lang w:eastAsia="zh-CN"/>
        </w:rPr>
        <w:t xml:space="preserve">Об утверждении Положения о предоставлении в 2024 году иных межбюджетных трансфертов бюджету поселения муниципального образования город Аткарск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Аткарского муниципального района </w:t>
      </w:r>
    </w:p>
    <w:p w:rsidR="00E549D3" w:rsidRPr="00E549D3" w:rsidRDefault="00E549D3" w:rsidP="00E549D3">
      <w:pPr>
        <w:suppressAutoHyphens/>
        <w:spacing w:after="0" w:line="240" w:lineRule="auto"/>
        <w:ind w:right="3119"/>
        <w:jc w:val="both"/>
        <w:rPr>
          <w:rFonts w:ascii="Times New Roman" w:eastAsia="Times New Roman" w:hAnsi="Times New Roman" w:cs="Times New Roman"/>
          <w:b/>
          <w:sz w:val="27"/>
          <w:szCs w:val="27"/>
          <w:lang w:eastAsia="zh-CN"/>
        </w:rPr>
      </w:pPr>
    </w:p>
    <w:p w:rsidR="00E549D3" w:rsidRPr="00E549D3" w:rsidRDefault="00E549D3" w:rsidP="00E549D3">
      <w:pPr>
        <w:widowControl w:val="0"/>
        <w:suppressAutoHyphens/>
        <w:autoSpaceDE w:val="0"/>
        <w:spacing w:after="0" w:line="240" w:lineRule="auto"/>
        <w:ind w:firstLine="709"/>
        <w:jc w:val="both"/>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 xml:space="preserve">В соответствии с Федеральным законом от 06 октября 2003 № 131-ФЗ «Об общих принципах организации местного самоуправления в Российской Федерации», Бюджетным Кодексом Российской Федерации, Уставом Аткарского муниципального района Саратовской области Аткарское муниципальное Собрание Аткарского муниципального района Саратовской области </w:t>
      </w:r>
      <w:r w:rsidRPr="00E549D3">
        <w:rPr>
          <w:rFonts w:ascii="Times New Roman" w:eastAsia="Times New Roman" w:hAnsi="Times New Roman" w:cs="Times New Roman"/>
          <w:b/>
          <w:sz w:val="27"/>
          <w:szCs w:val="27"/>
          <w:lang w:eastAsia="zh-CN"/>
        </w:rPr>
        <w:t>РЕШИЛО</w:t>
      </w:r>
      <w:r w:rsidRPr="00E549D3">
        <w:rPr>
          <w:rFonts w:ascii="Times New Roman" w:eastAsia="Times New Roman" w:hAnsi="Times New Roman" w:cs="Times New Roman"/>
          <w:sz w:val="27"/>
          <w:szCs w:val="27"/>
          <w:lang w:eastAsia="zh-CN"/>
        </w:rPr>
        <w:t>:</w:t>
      </w:r>
    </w:p>
    <w:p w:rsidR="00E549D3" w:rsidRPr="00E549D3" w:rsidRDefault="00E549D3" w:rsidP="00E549D3">
      <w:pPr>
        <w:widowControl w:val="0"/>
        <w:suppressAutoHyphens/>
        <w:autoSpaceDE w:val="0"/>
        <w:spacing w:after="0" w:line="240" w:lineRule="auto"/>
        <w:ind w:firstLine="709"/>
        <w:jc w:val="both"/>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1.Утвердить Положение о предоставлении в 2024 году иных межбюджетных трансфертов бюджету поселения муниципального образования город Аткарск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Аткарского муниципального района, согласно приложению к решению.</w:t>
      </w:r>
    </w:p>
    <w:p w:rsidR="00E549D3" w:rsidRPr="00E549D3" w:rsidRDefault="00E549D3" w:rsidP="00E549D3">
      <w:pPr>
        <w:suppressAutoHyphens/>
        <w:spacing w:after="0" w:line="240" w:lineRule="auto"/>
        <w:ind w:firstLine="709"/>
        <w:jc w:val="both"/>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2. Настоящее решение вступает в силу со дня его официального опубликования (обнародования).</w:t>
      </w:r>
    </w:p>
    <w:p w:rsidR="00E549D3" w:rsidRPr="00E549D3" w:rsidRDefault="00E549D3" w:rsidP="00E549D3">
      <w:pPr>
        <w:suppressAutoHyphens/>
        <w:spacing w:after="0" w:line="240" w:lineRule="auto"/>
        <w:ind w:firstLine="709"/>
        <w:jc w:val="both"/>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3. Опубликовать настоящее решение в газете «Аткарская газета»</w:t>
      </w:r>
    </w:p>
    <w:p w:rsidR="00E549D3" w:rsidRPr="00E549D3" w:rsidRDefault="00E549D3" w:rsidP="00E549D3">
      <w:pPr>
        <w:suppressAutoHyphens/>
        <w:spacing w:after="0" w:line="240" w:lineRule="auto"/>
        <w:ind w:firstLine="709"/>
        <w:jc w:val="both"/>
        <w:rPr>
          <w:rFonts w:ascii="Times New Roman" w:eastAsia="Times New Roman" w:hAnsi="Times New Roman" w:cs="Times New Roman"/>
          <w:sz w:val="27"/>
          <w:szCs w:val="27"/>
          <w:lang w:eastAsia="zh-CN"/>
        </w:rPr>
      </w:pPr>
      <w:r w:rsidRPr="00E549D3">
        <w:rPr>
          <w:rFonts w:ascii="Times New Roman" w:eastAsia="Times New Roman" w:hAnsi="Times New Roman" w:cs="Times New Roman"/>
          <w:sz w:val="27"/>
          <w:szCs w:val="27"/>
          <w:lang w:eastAsia="zh-CN"/>
        </w:rPr>
        <w:t>4. Контроль за исполнением настоящего решения возложить на постоянную депутатскую комиссию по вопросам экономики, бюджетно-финансового процесса, имущественных и земельных отношений, вопросам местного самоуправления и правовым вопросам.</w:t>
      </w:r>
    </w:p>
    <w:p w:rsidR="00E549D3" w:rsidRPr="00E549D3" w:rsidRDefault="00E549D3" w:rsidP="00E549D3">
      <w:pPr>
        <w:suppressAutoHyphens/>
        <w:spacing w:after="0" w:line="240" w:lineRule="auto"/>
        <w:jc w:val="both"/>
        <w:rPr>
          <w:rFonts w:ascii="Times New Roman" w:eastAsia="Times New Roman" w:hAnsi="Times New Roman" w:cs="Times New Roman"/>
          <w:b/>
          <w:sz w:val="27"/>
          <w:szCs w:val="27"/>
          <w:lang w:eastAsia="zh-CN"/>
        </w:rPr>
      </w:pPr>
    </w:p>
    <w:p w:rsidR="00E549D3" w:rsidRPr="00E549D3" w:rsidRDefault="00E549D3" w:rsidP="00E549D3">
      <w:pPr>
        <w:widowControl w:val="0"/>
        <w:suppressAutoHyphens/>
        <w:autoSpaceDE w:val="0"/>
        <w:spacing w:after="0" w:line="240" w:lineRule="auto"/>
        <w:jc w:val="both"/>
        <w:rPr>
          <w:rFonts w:ascii="Times New Roman" w:eastAsia="Times New Roman" w:hAnsi="Times New Roman" w:cs="Times New Roman"/>
          <w:b/>
          <w:sz w:val="27"/>
          <w:szCs w:val="27"/>
          <w:lang w:eastAsia="zh-CN"/>
        </w:rPr>
      </w:pPr>
      <w:r w:rsidRPr="00E549D3">
        <w:rPr>
          <w:rFonts w:ascii="Times New Roman" w:eastAsia="Times New Roman" w:hAnsi="Times New Roman" w:cs="Times New Roman"/>
          <w:b/>
          <w:sz w:val="27"/>
          <w:szCs w:val="27"/>
          <w:lang w:eastAsia="zh-CN"/>
        </w:rPr>
        <w:t>Глава муниципального района                                                                В.В. Елин</w:t>
      </w:r>
    </w:p>
    <w:p w:rsidR="00E549D3" w:rsidRPr="00E549D3" w:rsidRDefault="00E549D3" w:rsidP="00E549D3">
      <w:pPr>
        <w:widowControl w:val="0"/>
        <w:suppressAutoHyphens/>
        <w:autoSpaceDE w:val="0"/>
        <w:spacing w:after="0" w:line="240" w:lineRule="auto"/>
        <w:jc w:val="both"/>
        <w:rPr>
          <w:rFonts w:ascii="Times New Roman" w:eastAsia="Times New Roman" w:hAnsi="Times New Roman" w:cs="Times New Roman"/>
          <w:b/>
          <w:sz w:val="27"/>
          <w:szCs w:val="27"/>
          <w:lang w:eastAsia="zh-CN"/>
        </w:rPr>
      </w:pPr>
    </w:p>
    <w:p w:rsidR="00E549D3" w:rsidRPr="00E549D3" w:rsidRDefault="00E549D3" w:rsidP="00E549D3">
      <w:pPr>
        <w:widowControl w:val="0"/>
        <w:suppressAutoHyphens/>
        <w:autoSpaceDE w:val="0"/>
        <w:spacing w:after="0" w:line="240" w:lineRule="auto"/>
        <w:jc w:val="both"/>
        <w:rPr>
          <w:rFonts w:ascii="Times New Roman" w:eastAsia="Times New Roman" w:hAnsi="Times New Roman" w:cs="Times New Roman"/>
          <w:b/>
          <w:sz w:val="27"/>
          <w:szCs w:val="27"/>
          <w:lang w:eastAsia="zh-CN"/>
        </w:rPr>
      </w:pPr>
      <w:r w:rsidRPr="00E549D3">
        <w:rPr>
          <w:rFonts w:ascii="Times New Roman" w:eastAsia="Times New Roman" w:hAnsi="Times New Roman" w:cs="Times New Roman"/>
          <w:b/>
          <w:sz w:val="27"/>
          <w:szCs w:val="27"/>
          <w:lang w:eastAsia="zh-CN"/>
        </w:rPr>
        <w:t xml:space="preserve">Председатель Аткарского </w:t>
      </w:r>
    </w:p>
    <w:p w:rsidR="00E549D3" w:rsidRPr="00E549D3" w:rsidRDefault="00E549D3" w:rsidP="00E549D3">
      <w:pPr>
        <w:widowControl w:val="0"/>
        <w:suppressAutoHyphens/>
        <w:autoSpaceDE w:val="0"/>
        <w:spacing w:after="0" w:line="240" w:lineRule="auto"/>
        <w:jc w:val="both"/>
        <w:rPr>
          <w:rFonts w:ascii="Times New Roman" w:eastAsia="Times New Roman" w:hAnsi="Times New Roman" w:cs="Times New Roman"/>
          <w:b/>
          <w:sz w:val="28"/>
          <w:szCs w:val="28"/>
          <w:lang w:eastAsia="zh-CN"/>
        </w:rPr>
        <w:sectPr w:rsidR="00E549D3" w:rsidRPr="00E549D3" w:rsidSect="003701E8">
          <w:pgSz w:w="11906" w:h="16838"/>
          <w:pgMar w:top="624" w:right="851" w:bottom="624" w:left="1701" w:header="720" w:footer="720" w:gutter="0"/>
          <w:cols w:space="720"/>
          <w:docGrid w:linePitch="435"/>
        </w:sectPr>
      </w:pPr>
      <w:r w:rsidRPr="00E549D3">
        <w:rPr>
          <w:rFonts w:ascii="Times New Roman" w:eastAsia="Times New Roman" w:hAnsi="Times New Roman" w:cs="Times New Roman"/>
          <w:b/>
          <w:sz w:val="27"/>
          <w:szCs w:val="27"/>
          <w:lang w:eastAsia="zh-CN"/>
        </w:rPr>
        <w:t>муниципального Собрания                                                                 А.В. Брусьев</w:t>
      </w:r>
      <w:r w:rsidRPr="00E549D3">
        <w:rPr>
          <w:rFonts w:ascii="Times New Roman" w:eastAsia="Times New Roman" w:hAnsi="Times New Roman" w:cs="Times New Roman"/>
          <w:b/>
          <w:sz w:val="28"/>
          <w:szCs w:val="28"/>
          <w:lang w:eastAsia="zh-CN"/>
        </w:rPr>
        <w:t xml:space="preserve">  </w:t>
      </w:r>
    </w:p>
    <w:p w:rsidR="00E549D3" w:rsidRPr="00E549D3" w:rsidRDefault="00E549D3" w:rsidP="00E549D3">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E549D3">
        <w:rPr>
          <w:rFonts w:ascii="PT Astra Serif" w:eastAsia="Times New Roman" w:hAnsi="PT Astra Serif" w:cs="Times New Roman"/>
          <w:b/>
          <w:sz w:val="28"/>
          <w:szCs w:val="28"/>
          <w:lang w:eastAsia="zh-CN"/>
        </w:rPr>
        <w:lastRenderedPageBreak/>
        <w:t>Приложение к решению</w:t>
      </w:r>
    </w:p>
    <w:p w:rsidR="00E549D3" w:rsidRPr="00E549D3" w:rsidRDefault="00E549D3" w:rsidP="00E549D3">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E549D3">
        <w:rPr>
          <w:rFonts w:ascii="PT Astra Serif" w:eastAsia="Times New Roman" w:hAnsi="PT Astra Serif" w:cs="Times New Roman"/>
          <w:b/>
          <w:sz w:val="28"/>
          <w:szCs w:val="28"/>
          <w:lang w:eastAsia="zh-CN"/>
        </w:rPr>
        <w:t>Аткарского муниципального Собрания</w:t>
      </w:r>
    </w:p>
    <w:p w:rsidR="00E549D3" w:rsidRPr="00E549D3" w:rsidRDefault="00E549D3" w:rsidP="00E549D3">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E549D3">
        <w:rPr>
          <w:rFonts w:ascii="PT Astra Serif" w:eastAsia="Times New Roman" w:hAnsi="PT Astra Serif" w:cs="Times New Roman"/>
          <w:b/>
          <w:sz w:val="28"/>
          <w:szCs w:val="28"/>
          <w:lang w:eastAsia="zh-CN"/>
        </w:rPr>
        <w:t>от 26.01.2024 № 104</w:t>
      </w:r>
    </w:p>
    <w:p w:rsidR="00E549D3" w:rsidRPr="00E549D3" w:rsidRDefault="00E549D3" w:rsidP="00E549D3">
      <w:pPr>
        <w:widowControl w:val="0"/>
        <w:suppressAutoHyphens/>
        <w:autoSpaceDE w:val="0"/>
        <w:spacing w:after="0" w:line="240" w:lineRule="auto"/>
        <w:jc w:val="right"/>
        <w:rPr>
          <w:rFonts w:ascii="PT Astra Serif" w:eastAsia="Times New Roman" w:hAnsi="PT Astra Serif" w:cs="Times New Roman"/>
          <w:b/>
          <w:sz w:val="28"/>
          <w:szCs w:val="28"/>
          <w:lang w:eastAsia="zh-CN"/>
        </w:rPr>
      </w:pP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4"/>
          <w:szCs w:val="24"/>
          <w:lang w:eastAsia="zh-CN"/>
        </w:rPr>
      </w:pP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Calibri"/>
          <w:b/>
          <w:bCs/>
          <w:sz w:val="28"/>
          <w:szCs w:val="28"/>
          <w:lang w:eastAsia="zh-CN"/>
        </w:rPr>
      </w:pPr>
      <w:bookmarkStart w:id="0" w:name="Par31"/>
      <w:bookmarkEnd w:id="0"/>
      <w:r w:rsidRPr="00E549D3">
        <w:rPr>
          <w:rFonts w:ascii="PT Astra Serif" w:eastAsia="Times New Roman" w:hAnsi="PT Astra Serif" w:cs="Times New Roman"/>
          <w:b/>
          <w:bCs/>
          <w:sz w:val="28"/>
          <w:szCs w:val="28"/>
          <w:lang w:eastAsia="zh-CN"/>
        </w:rPr>
        <w:t>Положение</w:t>
      </w: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Calibri"/>
          <w:b/>
          <w:bCs/>
          <w:sz w:val="28"/>
          <w:szCs w:val="28"/>
          <w:lang w:eastAsia="zh-CN"/>
        </w:rPr>
      </w:pPr>
      <w:r w:rsidRPr="00E549D3">
        <w:rPr>
          <w:rFonts w:ascii="PT Astra Serif" w:eastAsia="Times New Roman" w:hAnsi="PT Astra Serif" w:cs="Times New Roman"/>
          <w:b/>
          <w:bCs/>
          <w:sz w:val="28"/>
          <w:szCs w:val="28"/>
          <w:lang w:eastAsia="zh-CN"/>
        </w:rPr>
        <w:t>О предоставлении в 2024 году иных межбюджетных трансфертов бюджету поселения муниципального образования город Аткарск на достижение целевых показателей, предусматривающих мероприятия по приведению в нормативное состояние автомобильных дорог местного значения за счет средств дорожного фонда Аткарского муниципального района</w:t>
      </w: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b/>
          <w:sz w:val="32"/>
          <w:szCs w:val="20"/>
          <w:lang w:eastAsia="zh-CN"/>
        </w:rPr>
      </w:pPr>
      <w:r w:rsidRPr="00E549D3">
        <w:rPr>
          <w:rFonts w:ascii="PT Astra Serif" w:eastAsia="Times New Roman" w:hAnsi="PT Astra Serif" w:cs="Times New Roman"/>
          <w:b/>
          <w:sz w:val="28"/>
          <w:szCs w:val="28"/>
          <w:lang w:eastAsia="zh-CN"/>
        </w:rPr>
        <w:t>1. Общие положения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1.1. Настоящее Положение определяет случаи, условия и порядок предоставления в 2024 году иных межбюджетных трансфертов бюджету городского поселения района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муниципального района (далее - иные межбюджетные трансферты).</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1.2. Предоставление иных межбюджетных трансфертов из бюджета Аткарского муниципального района бюджету муниципального образования город Аткарск производится за счет собственных доходов и источников финансирования дефицита бюджета Аткарского муниципального района.</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1.3. Объем иных межбюджетных трансфертов бюджету городского поселения утверждается решением Аткарского муниципального Собрания о местном бюджете Аткарского муниципального района на текущий 2024 финансовый год.</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709"/>
        <w:jc w:val="center"/>
        <w:rPr>
          <w:rFonts w:ascii="PT Astra Serif" w:eastAsia="Times New Roman" w:hAnsi="PT Astra Serif" w:cs="Times New Roman"/>
          <w:b/>
          <w:sz w:val="32"/>
          <w:szCs w:val="20"/>
          <w:lang w:eastAsia="zh-CN"/>
        </w:rPr>
      </w:pPr>
      <w:r w:rsidRPr="00E549D3">
        <w:rPr>
          <w:rFonts w:ascii="PT Astra Serif" w:eastAsia="Times New Roman" w:hAnsi="PT Astra Serif" w:cs="Times New Roman"/>
          <w:b/>
          <w:sz w:val="28"/>
          <w:szCs w:val="28"/>
          <w:lang w:eastAsia="zh-CN"/>
        </w:rPr>
        <w:t>2. Случаи и условия предоставления иных межбюджетных трансфертов</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32"/>
          <w:szCs w:val="20"/>
          <w:lang w:eastAsia="zh-CN"/>
        </w:rPr>
      </w:pPr>
      <w:r w:rsidRPr="00E549D3">
        <w:rPr>
          <w:rFonts w:ascii="PT Astra Serif" w:eastAsia="Times New Roman" w:hAnsi="PT Astra Serif" w:cs="Times New Roman"/>
          <w:sz w:val="28"/>
          <w:szCs w:val="28"/>
          <w:lang w:eastAsia="zh-CN"/>
        </w:rPr>
        <w:t>2.1. Предоставление иных межбюджетных трансфертов бюджету городского поселения из бюджета Аткарского муниципального района осуществляется в следующем случае:</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муниципального района.</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2.2. Предоставление иных межбюджетных трансфертов осуществляется в соответствии с правовыми актами:</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-Решением Аткарского муниципального Собрания от 11.12.2015 г. № 794 «О муниципальном дорожном фонде Аткарского муниципального района» (с последующими изменениями и дополнениями);</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 xml:space="preserve">- Постановлением администрации Аткарского муниципального района от 21.09.2023 года № 571 «Об утверждении муниципальной программы Дорожная деятельность в отношении автомобильных дорог общего пользования местного значения в границах Аткарского муниципального </w:t>
      </w:r>
      <w:r w:rsidRPr="00E549D3">
        <w:rPr>
          <w:rFonts w:ascii="PT Astra Serif" w:eastAsia="Times New Roman" w:hAnsi="PT Astra Serif" w:cs="Times New Roman"/>
          <w:sz w:val="28"/>
          <w:szCs w:val="28"/>
          <w:lang w:eastAsia="zh-CN"/>
        </w:rPr>
        <w:lastRenderedPageBreak/>
        <w:t xml:space="preserve">района» (с последующими изменениями и дополнениями);    </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2.3. Расходование иных межбюджетных трансфертов осуществляется в соответствии с правовыми актами:</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-Решением Совета депутатов муниципального образования город Аткарск от 26.11.2013 № 27 «О муниципальном дорожном фонде муниципального образования город Аткарск» (с последующими изменениями и дополнениями);</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w:t>
      </w:r>
      <w:r w:rsidRPr="00E549D3">
        <w:rPr>
          <w:rFonts w:ascii="PT Astra Serif" w:eastAsia="Times New Roman" w:hAnsi="PT Astra Serif" w:cs="Times New Roman"/>
          <w:sz w:val="32"/>
          <w:szCs w:val="20"/>
          <w:lang w:eastAsia="zh-CN"/>
        </w:rPr>
        <w:t xml:space="preserve"> </w:t>
      </w:r>
      <w:r w:rsidRPr="00E549D3">
        <w:rPr>
          <w:rFonts w:ascii="PT Astra Serif" w:eastAsia="Times New Roman" w:hAnsi="PT Astra Serif" w:cs="Times New Roman"/>
          <w:sz w:val="28"/>
          <w:szCs w:val="28"/>
          <w:lang w:eastAsia="zh-CN"/>
        </w:rPr>
        <w:t xml:space="preserve">Постановлением администрации Аткарского муниципального района от 21.09.2023 года № 577 «Об утверждении муниципальной программы Дорожная деятельность в отношении автомобильных дорог местного значения в границах муниципального образования город Аткарск» (с последующими изменениями и дополнениями);    </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 Приказом Министерства транспорта Российской Федерации от 16.11.2012 г. № 402 «Об утверждении классификации работ по капитальному ремонту, ремонту и содержанию автомобильных дорог» (с изменениями на 20.03.2023 года)</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2.4. Иные межбюджетные трансферты из местного бюджета Аткарского муниципального района бюджету муниципального образования город Аткарск предоставляются на реализацию мероприятий муниципальной программы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ab/>
        <w:t>2.5. Иные межбюджетные трансферты из местного бюджета Аткарского муниципального района бюджету муниципального образования город Аткарск предоставляются при условии соблюдения органами местного самоуправления городского поселения требований Бюджетного кодекса Российской Федерации и настоящего Положения.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2.6. Иные межбюджетные трансферты расходуются при условии осуществления за счет средств местного бюджета городского поселения кассовых выплат в соответствии с правовым актом, устанавливающим расходные обязательства городского поселения района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2.7. Органы местного самоуправления</w:t>
      </w:r>
      <w:r w:rsidRPr="00E549D3">
        <w:rPr>
          <w:rFonts w:ascii="PT Astra Serif" w:eastAsia="Times New Roman" w:hAnsi="PT Astra Serif" w:cs="Times New Roman"/>
          <w:sz w:val="32"/>
          <w:szCs w:val="20"/>
          <w:lang w:eastAsia="zh-CN"/>
        </w:rPr>
        <w:t xml:space="preserve"> </w:t>
      </w:r>
      <w:r w:rsidRPr="00E549D3">
        <w:rPr>
          <w:rFonts w:ascii="PT Astra Serif" w:eastAsia="Times New Roman" w:hAnsi="PT Astra Serif" w:cs="Times New Roman"/>
          <w:sz w:val="28"/>
          <w:szCs w:val="28"/>
          <w:lang w:eastAsia="zh-CN"/>
        </w:rPr>
        <w:t>муниципального образования город Аткарск несут ответственность за несоблюдение установленного порядка расходования иных межбюджетных трансфертов.</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2.8. Иные межбюджетные трансферты имеют целевой характер и не подлежат направлению на другие цели.</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2.9. В случае использования иных межбюджетных трансфертов не по целевому назначению соответствующие средства взыскиваются в бюджет муниципального района в установленном законодательством порядке.</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709"/>
        <w:jc w:val="center"/>
        <w:rPr>
          <w:rFonts w:ascii="PT Astra Serif" w:eastAsia="Times New Roman" w:hAnsi="PT Astra Serif" w:cs="Times New Roman"/>
          <w:b/>
          <w:sz w:val="32"/>
          <w:szCs w:val="20"/>
          <w:lang w:eastAsia="zh-CN"/>
        </w:rPr>
      </w:pPr>
      <w:r w:rsidRPr="00E549D3">
        <w:rPr>
          <w:rFonts w:ascii="PT Astra Serif" w:eastAsia="Times New Roman" w:hAnsi="PT Astra Serif" w:cs="Times New Roman"/>
          <w:b/>
          <w:sz w:val="28"/>
          <w:szCs w:val="28"/>
          <w:lang w:eastAsia="zh-CN"/>
        </w:rPr>
        <w:t>3. Порядок предоставления иных межбюджетных трансфертов</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 xml:space="preserve">3.1. Иные межбюджетные трансферты бюджету муниципального образования город Аткарск предоставляются в соответствии со сводной бюджетной росписью расходов бюджета муниципального района в пределах </w:t>
      </w:r>
      <w:r w:rsidRPr="00E549D3">
        <w:rPr>
          <w:rFonts w:ascii="PT Astra Serif" w:eastAsia="Times New Roman" w:hAnsi="PT Astra Serif" w:cs="Times New Roman"/>
          <w:sz w:val="28"/>
          <w:szCs w:val="28"/>
          <w:lang w:eastAsia="zh-CN"/>
        </w:rPr>
        <w:lastRenderedPageBreak/>
        <w:t xml:space="preserve">бюджетных ассигнований, лимитов бюджетных обязательств и кассового плана, предусмотренных на данные цели в бюджете Аткарского муниципального района. </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Объем и периодичность предоставления иных межбюджетных трансфертов определяются с учетом поступлений доходных источников и неиспользованного остатка дорожного фонда Аткарского муниципального района.</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 xml:space="preserve">3.2. Главным распорядителем бюджетных средств иных межбюджетных трансфертов в рамках данного Положения является администрация Аткарского муниципального района. </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Администрация (исполнительно-распорядительный орган) муниципального района осуществляет полномочия администрации (исполнительно-распорядительного органа) городского поселения.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3.3. Иные межбюджетные трансферты перечисляются администрацией муниципального района из бюджета района в бюджет поселения в течении пяти рабочих дней со дня поступления от главного распорядителя бюджетных средств заявки на доведение объемов финансирования.</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Заявки на доведение объемов финансирования формируются администрацией муниципального района на основании условий заключенных муниципальных контрактов и документов, подтверждающих выполнение работ по достижению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муниципального района, и не может превышать общий объем лимитов бюджетных обязательств на данные цели, доведенных до главного распорядителя бюджетных средств.</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3.4. Иные межбюджетные трансферты перечисляются администрацией Аткарского муниципального района со счета местного бюджета района на счет местного бюджета поселения (лицевые счета), открытые в управлении Федерального казначейства.</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3.5. Иные межбюджетные трансферты, полученные в случае, определенном настоящим Положением, но не использованные в текущем финансовом году, подлежат возврату не позднее 25 декабря 2024 года.</w:t>
      </w:r>
    </w:p>
    <w:p w:rsidR="00E549D3" w:rsidRPr="00E549D3" w:rsidRDefault="00E549D3" w:rsidP="00E549D3">
      <w:pPr>
        <w:suppressAutoHyphens/>
        <w:spacing w:after="0" w:line="240" w:lineRule="auto"/>
        <w:ind w:firstLine="709"/>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3.6. В случае, если неиспользованный остаток иных межбюджетных трансфертов не перечислен в бюджет муниципального района, указанные средства подлежат взысканию в установленном законодательством порядке.</w:t>
      </w:r>
    </w:p>
    <w:p w:rsidR="00E549D3" w:rsidRPr="00E549D3" w:rsidRDefault="00E549D3" w:rsidP="00E549D3">
      <w:pPr>
        <w:widowControl w:val="0"/>
        <w:suppressAutoHyphens/>
        <w:autoSpaceDE w:val="0"/>
        <w:spacing w:after="0" w:line="240" w:lineRule="auto"/>
        <w:ind w:firstLine="709"/>
        <w:jc w:val="both"/>
        <w:rPr>
          <w:rFonts w:ascii="PT Astra Serif" w:eastAsia="Times New Roman" w:hAnsi="PT Astra Serif" w:cs="Times New Roman"/>
          <w:sz w:val="32"/>
          <w:szCs w:val="20"/>
          <w:lang w:eastAsia="zh-CN"/>
        </w:rPr>
      </w:pPr>
      <w:r w:rsidRPr="00E549D3">
        <w:rPr>
          <w:rFonts w:ascii="PT Astra Serif" w:eastAsia="Times New Roman" w:hAnsi="PT Astra Serif" w:cs="Times New Roman"/>
          <w:sz w:val="28"/>
          <w:szCs w:val="28"/>
          <w:lang w:eastAsia="zh-CN"/>
        </w:rPr>
        <w:t xml:space="preserve">3.7. Отчет об использовании иных межбюджетных трансфертов, предоставляется администрацией муниципального района ежеквартально, не позднее 10 числа месяца, следующего за отчетным периодом за квартал, и не позднее 28 декабря текущего года за год, по форме согласно приложению. </w:t>
      </w:r>
    </w:p>
    <w:p w:rsidR="00E549D3" w:rsidRPr="00E549D3" w:rsidRDefault="00E549D3" w:rsidP="00E549D3">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Приложение к Положению </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о предоставлении в 2024 году</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иных межбюджетных трансфертов</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бюджету поселения муниципального</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образования город Аткарск  на</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lastRenderedPageBreak/>
        <w:t xml:space="preserve"> достижение  целевых показателей,</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предусматривающих мероприятия</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по решению неотложных задач  по </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приведению в нормативное состояние </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автомобильных дорог местного значения</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за счет средств дорожного фонда</w:t>
      </w:r>
    </w:p>
    <w:p w:rsidR="00E549D3" w:rsidRPr="00E549D3" w:rsidRDefault="00E549D3" w:rsidP="00E549D3">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xml:space="preserve"> Аткарского муниципального района</w:t>
      </w:r>
    </w:p>
    <w:p w:rsidR="00E549D3" w:rsidRPr="00E549D3" w:rsidRDefault="00E549D3" w:rsidP="00E549D3">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ind w:firstLine="540"/>
        <w:jc w:val="center"/>
        <w:rPr>
          <w:rFonts w:ascii="PT Astra Serif" w:eastAsia="Times New Roman" w:hAnsi="PT Astra Serif" w:cs="Times New Roman"/>
          <w:sz w:val="32"/>
          <w:szCs w:val="20"/>
          <w:lang w:eastAsia="zh-CN"/>
        </w:rPr>
      </w:pPr>
      <w:r w:rsidRPr="00E549D3">
        <w:rPr>
          <w:rFonts w:ascii="PT Astra Serif" w:eastAsia="Times New Roman" w:hAnsi="PT Astra Serif" w:cs="Times New Roman"/>
          <w:b/>
          <w:sz w:val="28"/>
          <w:szCs w:val="28"/>
          <w:lang w:eastAsia="zh-CN"/>
        </w:rPr>
        <w:t>Отчет</w:t>
      </w:r>
    </w:p>
    <w:p w:rsidR="00E549D3" w:rsidRPr="00E549D3" w:rsidRDefault="00E549D3" w:rsidP="00E549D3">
      <w:pPr>
        <w:widowControl w:val="0"/>
        <w:pBdr>
          <w:bottom w:val="single" w:sz="12" w:space="1" w:color="000000"/>
        </w:pBdr>
        <w:suppressAutoHyphens/>
        <w:autoSpaceDE w:val="0"/>
        <w:spacing w:after="0" w:line="240" w:lineRule="auto"/>
        <w:jc w:val="center"/>
        <w:rPr>
          <w:rFonts w:ascii="PT Astra Serif" w:eastAsia="Times New Roman" w:hAnsi="PT Astra Serif" w:cs="Times New Roman"/>
          <w:b/>
          <w:sz w:val="28"/>
          <w:szCs w:val="28"/>
          <w:lang w:eastAsia="zh-CN"/>
        </w:rPr>
      </w:pP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(наименование органа местного самоуправления  муниципального образования)</w:t>
      </w: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b/>
          <w:sz w:val="28"/>
          <w:szCs w:val="28"/>
          <w:lang w:eastAsia="zh-CN"/>
        </w:rPr>
      </w:pP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b/>
          <w:sz w:val="28"/>
          <w:szCs w:val="28"/>
          <w:lang w:eastAsia="zh-CN"/>
        </w:rPr>
      </w:pPr>
      <w:r w:rsidRPr="00E549D3">
        <w:rPr>
          <w:rFonts w:ascii="PT Astra Serif" w:eastAsia="Times New Roman" w:hAnsi="PT Astra Serif" w:cs="Times New Roman"/>
          <w:b/>
          <w:sz w:val="28"/>
          <w:szCs w:val="28"/>
          <w:lang w:eastAsia="zh-CN"/>
        </w:rPr>
        <w:t>об использовании иных межбюджетных трансфертов, полученных бюджетом  муниципального образования город Аткарск из бюджета Аткарского муниципального района, на 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за счет средств дорожного фонда Аткарского муниципального района</w:t>
      </w: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b/>
          <w:sz w:val="28"/>
          <w:szCs w:val="28"/>
          <w:lang w:eastAsia="zh-CN"/>
        </w:rPr>
      </w:pP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sz w:val="32"/>
          <w:szCs w:val="20"/>
          <w:lang w:eastAsia="zh-CN"/>
        </w:rPr>
      </w:pPr>
      <w:r w:rsidRPr="00E549D3">
        <w:rPr>
          <w:rFonts w:ascii="PT Astra Serif" w:eastAsia="Times New Roman" w:hAnsi="PT Astra Serif" w:cs="Times New Roman"/>
          <w:b/>
          <w:sz w:val="28"/>
          <w:szCs w:val="28"/>
          <w:lang w:eastAsia="zh-CN"/>
        </w:rPr>
        <w:t xml:space="preserve"> за _________________ квартал  20___ года</w:t>
      </w:r>
    </w:p>
    <w:p w:rsidR="00E549D3" w:rsidRPr="00E549D3" w:rsidRDefault="00E549D3" w:rsidP="00E549D3">
      <w:pPr>
        <w:widowControl w:val="0"/>
        <w:suppressAutoHyphens/>
        <w:autoSpaceDE w:val="0"/>
        <w:spacing w:after="0" w:line="240" w:lineRule="auto"/>
        <w:jc w:val="center"/>
        <w:rPr>
          <w:rFonts w:ascii="PT Astra Serif" w:eastAsia="Times New Roman" w:hAnsi="PT Astra Serif" w:cs="Times New Roman"/>
          <w:b/>
          <w:sz w:val="28"/>
          <w:szCs w:val="28"/>
          <w:lang w:eastAsia="zh-CN"/>
        </w:rPr>
      </w:pP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b/>
          <w:sz w:val="28"/>
          <w:szCs w:val="28"/>
          <w:lang w:eastAsia="zh-CN"/>
        </w:rPr>
      </w:pPr>
    </w:p>
    <w:tbl>
      <w:tblPr>
        <w:tblW w:w="8931" w:type="dxa"/>
        <w:tblInd w:w="108" w:type="dxa"/>
        <w:tblLayout w:type="fixed"/>
        <w:tblLook w:val="0000" w:firstRow="0" w:lastRow="0" w:firstColumn="0" w:lastColumn="0" w:noHBand="0" w:noVBand="0"/>
      </w:tblPr>
      <w:tblGrid>
        <w:gridCol w:w="481"/>
        <w:gridCol w:w="2071"/>
        <w:gridCol w:w="1701"/>
        <w:gridCol w:w="1984"/>
        <w:gridCol w:w="1134"/>
        <w:gridCol w:w="1560"/>
      </w:tblGrid>
      <w:tr w:rsidR="00E549D3" w:rsidRPr="00E549D3" w:rsidTr="00054EF7">
        <w:trPr>
          <w:trHeight w:val="2190"/>
        </w:trPr>
        <w:tc>
          <w:tcPr>
            <w:tcW w:w="481" w:type="dxa"/>
            <w:tcBorders>
              <w:top w:val="single" w:sz="4" w:space="0" w:color="000000"/>
              <w:left w:val="single" w:sz="4" w:space="0" w:color="000000"/>
              <w:bottom w:val="single" w:sz="4" w:space="0" w:color="000000"/>
            </w:tcBorders>
          </w:tcPr>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 п/п</w:t>
            </w:r>
          </w:p>
        </w:tc>
        <w:tc>
          <w:tcPr>
            <w:tcW w:w="2071"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Виды расходов, предусмотренные решением о бюджете</w:t>
            </w:r>
          </w:p>
        </w:tc>
        <w:tc>
          <w:tcPr>
            <w:tcW w:w="1701"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Ассигнования, утвержденные решением о бюджете</w:t>
            </w:r>
          </w:p>
        </w:tc>
        <w:tc>
          <w:tcPr>
            <w:tcW w:w="1984"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Перечислено из бюджета муниципального района (нарастающим итогом)</w:t>
            </w:r>
          </w:p>
        </w:tc>
        <w:tc>
          <w:tcPr>
            <w:tcW w:w="1134"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jc w:val="both"/>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Кассовые расходы</w:t>
            </w:r>
          </w:p>
          <w:p w:rsidR="00E549D3" w:rsidRPr="00E549D3" w:rsidRDefault="00E549D3" w:rsidP="00E549D3">
            <w:pPr>
              <w:suppressAutoHyphens/>
              <w:spacing w:after="0" w:line="240" w:lineRule="auto"/>
              <w:jc w:val="both"/>
              <w:rPr>
                <w:rFonts w:ascii="PT Astra Serif" w:eastAsia="Times New Roman" w:hAnsi="PT Astra Serif" w:cs="Times New Roman"/>
                <w:sz w:val="20"/>
                <w:szCs w:val="20"/>
                <w:lang w:eastAsia="zh-CN"/>
              </w:rPr>
            </w:pPr>
          </w:p>
          <w:p w:rsidR="00E549D3" w:rsidRPr="00E549D3" w:rsidRDefault="00E549D3" w:rsidP="00E549D3">
            <w:pPr>
              <w:suppressAutoHyphens/>
              <w:spacing w:after="0" w:line="240" w:lineRule="auto"/>
              <w:jc w:val="both"/>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(нарастающим итогом)</w:t>
            </w:r>
          </w:p>
        </w:tc>
        <w:tc>
          <w:tcPr>
            <w:tcW w:w="1560"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jc w:val="both"/>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остаток неиспользованных средств на конец отчетного периода</w:t>
            </w:r>
          </w:p>
        </w:tc>
      </w:tr>
      <w:tr w:rsidR="00E549D3" w:rsidRPr="00E549D3" w:rsidTr="00054EF7">
        <w:trPr>
          <w:trHeight w:val="311"/>
        </w:trPr>
        <w:tc>
          <w:tcPr>
            <w:tcW w:w="481" w:type="dxa"/>
            <w:tcBorders>
              <w:top w:val="single" w:sz="4" w:space="0" w:color="000000"/>
              <w:left w:val="single" w:sz="4" w:space="0" w:color="000000"/>
              <w:bottom w:val="single" w:sz="4" w:space="0" w:color="000000"/>
            </w:tcBorders>
            <w:vAlign w:val="center"/>
          </w:tcPr>
          <w:p w:rsidR="00E549D3" w:rsidRPr="00E549D3" w:rsidRDefault="00E549D3" w:rsidP="00E549D3">
            <w:pPr>
              <w:widowControl w:val="0"/>
              <w:suppressAutoHyphens/>
              <w:autoSpaceDE w:val="0"/>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1</w:t>
            </w:r>
          </w:p>
        </w:tc>
        <w:tc>
          <w:tcPr>
            <w:tcW w:w="2071" w:type="dxa"/>
            <w:tcBorders>
              <w:top w:val="single" w:sz="4" w:space="0" w:color="000000"/>
              <w:left w:val="single" w:sz="4" w:space="0" w:color="000000"/>
              <w:bottom w:val="single" w:sz="4" w:space="0" w:color="000000"/>
            </w:tcBorders>
            <w:vAlign w:val="center"/>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2</w:t>
            </w:r>
          </w:p>
        </w:tc>
        <w:tc>
          <w:tcPr>
            <w:tcW w:w="1701" w:type="dxa"/>
            <w:tcBorders>
              <w:top w:val="single" w:sz="4" w:space="0" w:color="000000"/>
              <w:left w:val="single" w:sz="4" w:space="0" w:color="000000"/>
              <w:bottom w:val="single" w:sz="4" w:space="0" w:color="000000"/>
            </w:tcBorders>
            <w:vAlign w:val="center"/>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3</w:t>
            </w:r>
          </w:p>
        </w:tc>
        <w:tc>
          <w:tcPr>
            <w:tcW w:w="1984" w:type="dxa"/>
            <w:tcBorders>
              <w:top w:val="single" w:sz="4" w:space="0" w:color="000000"/>
              <w:left w:val="single" w:sz="4" w:space="0" w:color="000000"/>
              <w:bottom w:val="single" w:sz="4" w:space="0" w:color="000000"/>
            </w:tcBorders>
            <w:vAlign w:val="center"/>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4</w:t>
            </w:r>
          </w:p>
        </w:tc>
        <w:tc>
          <w:tcPr>
            <w:tcW w:w="1134"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5</w:t>
            </w:r>
          </w:p>
        </w:tc>
        <w:tc>
          <w:tcPr>
            <w:tcW w:w="1560"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rPr>
                <w:rFonts w:ascii="PT Astra Serif" w:eastAsia="Times New Roman" w:hAnsi="PT Astra Serif" w:cs="Times New Roman"/>
                <w:sz w:val="20"/>
                <w:szCs w:val="20"/>
                <w:lang w:eastAsia="zh-CN"/>
              </w:rPr>
            </w:pPr>
          </w:p>
        </w:tc>
      </w:tr>
      <w:tr w:rsidR="00E549D3" w:rsidRPr="00E549D3" w:rsidTr="00054EF7">
        <w:trPr>
          <w:trHeight w:val="980"/>
        </w:trPr>
        <w:tc>
          <w:tcPr>
            <w:tcW w:w="481" w:type="dxa"/>
            <w:tcBorders>
              <w:top w:val="single" w:sz="4" w:space="0" w:color="000000"/>
              <w:left w:val="single" w:sz="4" w:space="0" w:color="000000"/>
              <w:bottom w:val="single" w:sz="4" w:space="0" w:color="000000"/>
            </w:tcBorders>
          </w:tcPr>
          <w:p w:rsidR="00E549D3" w:rsidRPr="00E549D3" w:rsidRDefault="00E549D3" w:rsidP="00E549D3">
            <w:pPr>
              <w:widowControl w:val="0"/>
              <w:suppressAutoHyphens/>
              <w:autoSpaceDE w:val="0"/>
              <w:snapToGrid w:val="0"/>
              <w:spacing w:after="0" w:line="240" w:lineRule="auto"/>
              <w:jc w:val="both"/>
              <w:rPr>
                <w:rFonts w:ascii="PT Astra Serif" w:eastAsia="Times New Roman" w:hAnsi="PT Astra Serif" w:cs="Times New Roman"/>
                <w:sz w:val="28"/>
                <w:szCs w:val="28"/>
                <w:lang w:eastAsia="zh-CN"/>
              </w:rPr>
            </w:pPr>
          </w:p>
        </w:tc>
        <w:tc>
          <w:tcPr>
            <w:tcW w:w="2071"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701"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984"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134"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560"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r>
      <w:tr w:rsidR="00E549D3" w:rsidRPr="00E549D3" w:rsidTr="00054EF7">
        <w:trPr>
          <w:trHeight w:val="600"/>
        </w:trPr>
        <w:tc>
          <w:tcPr>
            <w:tcW w:w="481" w:type="dxa"/>
            <w:tcBorders>
              <w:top w:val="single" w:sz="4" w:space="0" w:color="000000"/>
              <w:left w:val="single" w:sz="4" w:space="0" w:color="000000"/>
              <w:bottom w:val="single" w:sz="4" w:space="0" w:color="000000"/>
            </w:tcBorders>
          </w:tcPr>
          <w:p w:rsidR="00E549D3" w:rsidRPr="00E549D3" w:rsidRDefault="00E549D3" w:rsidP="00E549D3">
            <w:pPr>
              <w:widowControl w:val="0"/>
              <w:suppressAutoHyphens/>
              <w:autoSpaceDE w:val="0"/>
              <w:snapToGrid w:val="0"/>
              <w:spacing w:after="0" w:line="240" w:lineRule="auto"/>
              <w:jc w:val="both"/>
              <w:rPr>
                <w:rFonts w:ascii="PT Astra Serif" w:eastAsia="Times New Roman" w:hAnsi="PT Astra Serif" w:cs="Times New Roman"/>
                <w:sz w:val="28"/>
                <w:szCs w:val="28"/>
                <w:lang w:eastAsia="zh-CN"/>
              </w:rPr>
            </w:pPr>
          </w:p>
        </w:tc>
        <w:tc>
          <w:tcPr>
            <w:tcW w:w="2071" w:type="dxa"/>
            <w:tcBorders>
              <w:top w:val="single" w:sz="4" w:space="0" w:color="000000"/>
              <w:left w:val="single" w:sz="4" w:space="0" w:color="000000"/>
              <w:bottom w:val="single" w:sz="4" w:space="0" w:color="000000"/>
            </w:tcBorders>
          </w:tcPr>
          <w:p w:rsidR="00E549D3" w:rsidRPr="00E549D3" w:rsidRDefault="00E549D3" w:rsidP="00E549D3">
            <w:pPr>
              <w:suppressAutoHyphens/>
              <w:spacing w:after="0" w:line="240" w:lineRule="auto"/>
              <w:jc w:val="both"/>
              <w:rPr>
                <w:rFonts w:ascii="PT Astra Serif" w:eastAsia="Times New Roman" w:hAnsi="PT Astra Serif" w:cs="Times New Roman"/>
                <w:sz w:val="20"/>
                <w:szCs w:val="20"/>
                <w:lang w:eastAsia="zh-CN"/>
              </w:rPr>
            </w:pPr>
            <w:r w:rsidRPr="00E549D3">
              <w:rPr>
                <w:rFonts w:ascii="PT Astra Serif" w:eastAsia="Times New Roman" w:hAnsi="PT Astra Serif" w:cs="Times New Roman"/>
                <w:sz w:val="20"/>
                <w:szCs w:val="20"/>
                <w:lang w:eastAsia="zh-CN"/>
              </w:rPr>
              <w:t>Всего</w:t>
            </w:r>
          </w:p>
        </w:tc>
        <w:tc>
          <w:tcPr>
            <w:tcW w:w="1701"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984"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134"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c>
          <w:tcPr>
            <w:tcW w:w="1560" w:type="dxa"/>
            <w:tcBorders>
              <w:top w:val="single" w:sz="4" w:space="0" w:color="000000"/>
              <w:left w:val="single" w:sz="4" w:space="0" w:color="000000"/>
              <w:bottom w:val="single" w:sz="4" w:space="0" w:color="000000"/>
            </w:tcBorders>
          </w:tcPr>
          <w:p w:rsidR="00E549D3" w:rsidRPr="00E549D3" w:rsidRDefault="00E549D3" w:rsidP="00E549D3">
            <w:pPr>
              <w:suppressAutoHyphens/>
              <w:snapToGrid w:val="0"/>
              <w:spacing w:after="0" w:line="240" w:lineRule="auto"/>
              <w:jc w:val="both"/>
              <w:rPr>
                <w:rFonts w:ascii="PT Astra Serif" w:eastAsia="Times New Roman" w:hAnsi="PT Astra Serif" w:cs="Times New Roman"/>
                <w:sz w:val="28"/>
                <w:szCs w:val="28"/>
                <w:lang w:eastAsia="zh-CN"/>
              </w:rPr>
            </w:pPr>
          </w:p>
        </w:tc>
      </w:tr>
    </w:tbl>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Глава муниципального района:                                                                 (Ф.И.О.)</w:t>
      </w: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8"/>
          <w:szCs w:val="28"/>
          <w:lang w:eastAsia="zh-CN"/>
        </w:rPr>
      </w:pPr>
    </w:p>
    <w:p w:rsidR="00E549D3" w:rsidRPr="00E549D3" w:rsidRDefault="00E549D3" w:rsidP="00E549D3">
      <w:pPr>
        <w:widowControl w:val="0"/>
        <w:suppressAutoHyphens/>
        <w:autoSpaceDE w:val="0"/>
        <w:spacing w:after="0" w:line="240" w:lineRule="auto"/>
        <w:jc w:val="both"/>
        <w:rPr>
          <w:rFonts w:ascii="PT Astra Serif" w:eastAsia="Times New Roman" w:hAnsi="PT Astra Serif" w:cs="Times New Roman"/>
          <w:sz w:val="28"/>
          <w:szCs w:val="28"/>
          <w:lang w:eastAsia="zh-CN"/>
        </w:rPr>
      </w:pPr>
      <w:r w:rsidRPr="00E549D3">
        <w:rPr>
          <w:rFonts w:ascii="PT Astra Serif" w:eastAsia="Times New Roman" w:hAnsi="PT Astra Serif" w:cs="Times New Roman"/>
          <w:sz w:val="28"/>
          <w:szCs w:val="28"/>
          <w:lang w:eastAsia="zh-CN"/>
        </w:rPr>
        <w:t>Главный бухгалтер:                                                                                     (Ф.И.О.)</w:t>
      </w:r>
    </w:p>
    <w:p w:rsidR="00E549D3" w:rsidRPr="00E549D3" w:rsidRDefault="00E549D3" w:rsidP="00E549D3">
      <w:pPr>
        <w:suppressAutoHyphens/>
        <w:spacing w:after="0" w:line="240" w:lineRule="auto"/>
        <w:jc w:val="both"/>
        <w:rPr>
          <w:rFonts w:ascii="PT Astra Serif" w:eastAsia="Times New Roman" w:hAnsi="PT Astra Serif" w:cs="Times New Roman"/>
          <w:sz w:val="28"/>
          <w:szCs w:val="28"/>
          <w:lang w:eastAsia="zh-CN"/>
        </w:rPr>
      </w:pPr>
    </w:p>
    <w:p w:rsidR="00E549D3" w:rsidRPr="00E549D3" w:rsidRDefault="00E549D3" w:rsidP="00E549D3">
      <w:pPr>
        <w:suppressAutoHyphens/>
        <w:spacing w:after="0" w:line="240" w:lineRule="auto"/>
        <w:jc w:val="both"/>
        <w:rPr>
          <w:rFonts w:ascii="PT Astra Serif" w:eastAsia="Times New Roman" w:hAnsi="PT Astra Serif" w:cs="Times New Roman"/>
          <w:sz w:val="32"/>
          <w:szCs w:val="20"/>
          <w:lang w:eastAsia="zh-CN"/>
        </w:rPr>
      </w:pPr>
      <w:r w:rsidRPr="00E549D3">
        <w:rPr>
          <w:rFonts w:ascii="PT Astra Serif" w:eastAsia="Times New Roman" w:hAnsi="PT Astra Serif" w:cs="Times New Roman"/>
          <w:sz w:val="28"/>
          <w:szCs w:val="28"/>
          <w:lang w:eastAsia="zh-CN"/>
        </w:rPr>
        <w:t>Ответственный исполнитель:                                                                    (Ф.И.О.)</w:t>
      </w:r>
    </w:p>
    <w:p w:rsidR="007E516D" w:rsidRDefault="007E516D">
      <w:bookmarkStart w:id="1" w:name="_GoBack"/>
      <w:bookmarkEnd w:id="1"/>
    </w:p>
    <w:sectPr w:rsidR="007E516D" w:rsidSect="00077E50">
      <w:pgSz w:w="11906" w:h="16838"/>
      <w:pgMar w:top="851" w:right="851" w:bottom="567" w:left="170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EB"/>
    <w:rsid w:val="00152EEB"/>
    <w:rsid w:val="007E516D"/>
    <w:rsid w:val="00E54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8FA7-CBB5-4A54-9022-07636D5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Дмитриевна Вискова</dc:creator>
  <cp:keywords/>
  <dc:description/>
  <cp:lastModifiedBy>Юлия Дмитриевна Вискова</cp:lastModifiedBy>
  <cp:revision>2</cp:revision>
  <dcterms:created xsi:type="dcterms:W3CDTF">2024-01-30T11:14:00Z</dcterms:created>
  <dcterms:modified xsi:type="dcterms:W3CDTF">2024-01-30T11:14:00Z</dcterms:modified>
</cp:coreProperties>
</file>