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3F80" w:rsidRPr="00FA1DEF" w:rsidTr="00E77D8A">
        <w:trPr>
          <w:trHeight w:val="3119"/>
        </w:trPr>
        <w:tc>
          <w:tcPr>
            <w:tcW w:w="9639" w:type="dxa"/>
          </w:tcPr>
          <w:p w:rsidR="00903F80" w:rsidRPr="004C74B9" w:rsidRDefault="00903F80" w:rsidP="00903F80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064C438D" wp14:editId="36C81B71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АТКАРСКОЕ МУНИЦИПАЛЬНОЕ СОБРАНИЕ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903F80" w:rsidRPr="00FA1DEF" w:rsidRDefault="00D60A1C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Девятнадцатое</w:t>
            </w:r>
            <w:r w:rsidR="00903F80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03F80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903F80" w:rsidRPr="00FA1DEF" w:rsidRDefault="00903F80" w:rsidP="00903F80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903F80" w:rsidRPr="00FA1DEF" w:rsidRDefault="00903F80" w:rsidP="00903F80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2</w:t>
      </w:r>
      <w:r w:rsidR="00F1190D">
        <w:rPr>
          <w:rFonts w:ascii="PT Astra Serif" w:hAnsi="PT Astra Serif"/>
          <w:b/>
          <w:color w:val="000000" w:themeColor="text1"/>
          <w:sz w:val="28"/>
          <w:szCs w:val="28"/>
        </w:rPr>
        <w:t>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.1</w:t>
      </w:r>
      <w:r w:rsidR="00F1190D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.2024 </w:t>
      </w: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 xml:space="preserve">№ </w:t>
      </w:r>
      <w:r w:rsidR="00F31F45">
        <w:rPr>
          <w:rFonts w:ascii="PT Astra Serif" w:hAnsi="PT Astra Serif"/>
          <w:b/>
          <w:color w:val="000000" w:themeColor="text1"/>
          <w:sz w:val="28"/>
          <w:szCs w:val="28"/>
        </w:rPr>
        <w:t>261</w:t>
      </w:r>
      <w:bookmarkStart w:id="0" w:name="_GoBack"/>
      <w:bookmarkEnd w:id="0"/>
    </w:p>
    <w:p w:rsidR="00903F80" w:rsidRPr="00785086" w:rsidRDefault="00903F80" w:rsidP="00903F80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03F80" w:rsidRPr="00FA1DEF" w:rsidTr="00E77D8A">
        <w:tc>
          <w:tcPr>
            <w:tcW w:w="5637" w:type="dxa"/>
          </w:tcPr>
          <w:p w:rsidR="00F1190D" w:rsidRDefault="00F1190D" w:rsidP="00F1190D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изменений и дополнений </w:t>
            </w:r>
          </w:p>
          <w:p w:rsidR="00F1190D" w:rsidRDefault="00F1190D" w:rsidP="00F1190D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в Устав Аткарского муниципального </w:t>
            </w:r>
          </w:p>
          <w:p w:rsidR="00F1190D" w:rsidRDefault="00F1190D" w:rsidP="00F1190D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района Саратовской области</w:t>
            </w:r>
          </w:p>
          <w:p w:rsidR="00903F80" w:rsidRPr="00FA1DEF" w:rsidRDefault="00903F80" w:rsidP="00903F8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03F80" w:rsidRPr="00785086" w:rsidRDefault="00903F80" w:rsidP="00903F80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F1190D" w:rsidRPr="001544D5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4D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03.04.2024 № 28-ЗСО «О внесении изменений в статью 74 Устава (Основного закона) Саратовской области»,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Устава Аткарского муниципального района Саратовской области </w:t>
      </w:r>
      <w:proofErr w:type="spellStart"/>
      <w:r w:rsidRPr="001544D5">
        <w:rPr>
          <w:rFonts w:ascii="Times New Roman" w:hAnsi="Times New Roman" w:cs="Times New Roman"/>
          <w:sz w:val="28"/>
          <w:szCs w:val="28"/>
        </w:rPr>
        <w:t>Аткарское</w:t>
      </w:r>
      <w:proofErr w:type="spellEnd"/>
      <w:r w:rsidRPr="001544D5">
        <w:rPr>
          <w:rFonts w:ascii="Times New Roman" w:hAnsi="Times New Roman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1544D5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544D5">
        <w:rPr>
          <w:rFonts w:ascii="Times New Roman" w:hAnsi="Times New Roman" w:cs="Times New Roman"/>
          <w:sz w:val="28"/>
          <w:szCs w:val="28"/>
        </w:rPr>
        <w:t>:</w:t>
      </w:r>
    </w:p>
    <w:p w:rsidR="00F1190D" w:rsidRPr="00B22505" w:rsidRDefault="00F1190D" w:rsidP="002363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 Внести в Устав Аткарского муниципального района Саратовской области от 29 июня 2005 года № 414, принятый решением Аткарского муниципального Собрания, следующие изменения: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1.1. Устав </w:t>
      </w:r>
      <w:r>
        <w:rPr>
          <w:rFonts w:ascii="Times New Roman" w:hAnsi="Times New Roman" w:cs="Times New Roman"/>
          <w:sz w:val="28"/>
          <w:szCs w:val="28"/>
        </w:rPr>
        <w:t>Аткарского муниципального района</w:t>
      </w:r>
      <w:r w:rsidRPr="001661C3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29.2</w:t>
      </w:r>
      <w:r w:rsidRPr="001661C3">
        <w:rPr>
          <w:rFonts w:ascii="Times New Roman" w:hAnsi="Times New Roman" w:cs="Times New Roman"/>
          <w:sz w:val="28"/>
          <w:szCs w:val="28"/>
        </w:rPr>
        <w:t xml:space="preserve"> </w:t>
      </w:r>
      <w:r w:rsidRPr="001661C3">
        <w:rPr>
          <w:rFonts w:ascii="Times New Roman" w:hAnsi="Times New Roman" w:cs="Times New Roman"/>
          <w:b/>
          <w:sz w:val="28"/>
          <w:szCs w:val="28"/>
        </w:rPr>
        <w:t>«Встречи главы муниципального района с населением»</w:t>
      </w:r>
      <w:r w:rsidRPr="001661C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B227B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FC">
        <w:rPr>
          <w:rFonts w:ascii="Times New Roman" w:hAnsi="Times New Roman" w:cs="Times New Roman"/>
          <w:b/>
          <w:sz w:val="28"/>
          <w:szCs w:val="28"/>
        </w:rPr>
        <w:t>«</w:t>
      </w:r>
      <w:r w:rsidR="005B227B" w:rsidRPr="00F674FC">
        <w:rPr>
          <w:rFonts w:ascii="Times New Roman" w:hAnsi="Times New Roman" w:cs="Times New Roman"/>
          <w:b/>
          <w:sz w:val="28"/>
          <w:szCs w:val="28"/>
        </w:rPr>
        <w:t>Статья 29.2</w:t>
      </w:r>
      <w:r w:rsidR="005B227B" w:rsidRPr="001661C3">
        <w:rPr>
          <w:rFonts w:ascii="Times New Roman" w:hAnsi="Times New Roman" w:cs="Times New Roman"/>
          <w:sz w:val="28"/>
          <w:szCs w:val="28"/>
        </w:rPr>
        <w:t xml:space="preserve"> </w:t>
      </w:r>
      <w:r w:rsidR="005B227B" w:rsidRPr="001661C3">
        <w:rPr>
          <w:rFonts w:ascii="Times New Roman" w:hAnsi="Times New Roman" w:cs="Times New Roman"/>
          <w:b/>
          <w:sz w:val="28"/>
          <w:szCs w:val="28"/>
        </w:rPr>
        <w:t>Встречи главы мун</w:t>
      </w:r>
      <w:r w:rsidR="005B227B">
        <w:rPr>
          <w:rFonts w:ascii="Times New Roman" w:hAnsi="Times New Roman" w:cs="Times New Roman"/>
          <w:b/>
          <w:sz w:val="28"/>
          <w:szCs w:val="28"/>
        </w:rPr>
        <w:t>иципального района с населением.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1. Встречи главы </w:t>
      </w:r>
      <w:r>
        <w:rPr>
          <w:rFonts w:ascii="Times New Roman" w:hAnsi="Times New Roman" w:cs="Times New Roman"/>
          <w:sz w:val="28"/>
          <w:szCs w:val="28"/>
        </w:rPr>
        <w:t>Аткарского</w:t>
      </w:r>
      <w:r w:rsidRPr="001661C3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каждого муниципального образования, входящего в состав </w:t>
      </w:r>
      <w:r>
        <w:rPr>
          <w:rFonts w:ascii="Times New Roman" w:hAnsi="Times New Roman" w:cs="Times New Roman"/>
          <w:sz w:val="28"/>
          <w:szCs w:val="28"/>
        </w:rPr>
        <w:t>Аткарского</w:t>
      </w:r>
      <w:r w:rsidRPr="001661C3">
        <w:rPr>
          <w:rFonts w:ascii="Times New Roman" w:hAnsi="Times New Roman" w:cs="Times New Roman"/>
          <w:sz w:val="28"/>
          <w:szCs w:val="28"/>
        </w:rPr>
        <w:t xml:space="preserve"> муниципального района, проводятся не реже одного раза в месяц.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2. График проведения встреч с населением утверждается ежеквартально распоряжением администрации муниципального района.</w:t>
      </w:r>
    </w:p>
    <w:p w:rsidR="00F1190D" w:rsidRPr="001661C3" w:rsidRDefault="00F1190D" w:rsidP="00236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Допускается корректировка графика встреч главы муниципального района с населением по предложениям граждан, организаций, государственных органов, органов местного самоуправления, их должностных лиц с внесением изменений в соответствующее распоряжение администрации муниципального района. 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lastRenderedPageBreak/>
        <w:t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органа местного самоуправления.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Встречи главы муниципального района с населением проводятся в публичных местах (учреждения культуры, образования, административные здания).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4. Во время встречи главы муниципального района с населением ведется протокол. 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По итогам проведенной встречи могут быть даны поручения главы муниципального района специалистам администрации муниципального района.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5. Во время встречи все желающие могут задать вопросы главе муниципального района.</w:t>
      </w:r>
    </w:p>
    <w:p w:rsidR="00F1190D" w:rsidRPr="001661C3" w:rsidRDefault="00F1190D" w:rsidP="0023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6. Общественно значимые вопросы, поднятые в ходе встречи главы муниципального района с населением, включаются в план работы органов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F1190D" w:rsidRDefault="00F1190D" w:rsidP="0023632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2 статьи 28 «</w:t>
      </w:r>
      <w:r w:rsidRPr="009B33F2">
        <w:rPr>
          <w:rFonts w:ascii="PT Astra Serif" w:hAnsi="PT Astra Serif"/>
          <w:b/>
          <w:bCs/>
          <w:sz w:val="26"/>
          <w:szCs w:val="28"/>
        </w:rPr>
        <w:t>Глава Аткарского муниципального района</w:t>
      </w:r>
      <w:r>
        <w:rPr>
          <w:rFonts w:ascii="PT Astra Serif" w:hAnsi="PT Astra Serif"/>
          <w:b/>
          <w:bCs/>
          <w:sz w:val="26"/>
          <w:szCs w:val="28"/>
        </w:rPr>
        <w:t xml:space="preserve">» </w:t>
      </w:r>
      <w:r w:rsidRPr="009B33F2">
        <w:rPr>
          <w:rFonts w:ascii="PT Astra Serif" w:hAnsi="PT Astra Serif"/>
          <w:bCs/>
          <w:sz w:val="26"/>
          <w:szCs w:val="28"/>
        </w:rPr>
        <w:t>дополнить абзацем следующего содержания:</w:t>
      </w:r>
    </w:p>
    <w:p w:rsidR="00F1190D" w:rsidRPr="009B33F2" w:rsidRDefault="00F1190D" w:rsidP="00236324">
      <w:pPr>
        <w:spacing w:after="0" w:line="240" w:lineRule="auto"/>
        <w:ind w:firstLine="709"/>
        <w:jc w:val="both"/>
        <w:rPr>
          <w:sz w:val="28"/>
          <w:szCs w:val="28"/>
        </w:rPr>
      </w:pPr>
      <w:r w:rsidRPr="005B227B">
        <w:rPr>
          <w:rFonts w:ascii="PT Astra Serif" w:hAnsi="PT Astra Serif"/>
          <w:bCs/>
          <w:sz w:val="28"/>
          <w:szCs w:val="28"/>
        </w:rPr>
        <w:t>«</w:t>
      </w:r>
      <w:r w:rsidR="005B227B" w:rsidRPr="005B227B">
        <w:rPr>
          <w:rFonts w:ascii="PT Astra Serif" w:hAnsi="PT Astra Serif"/>
          <w:bCs/>
          <w:sz w:val="28"/>
          <w:szCs w:val="28"/>
        </w:rPr>
        <w:t>2.</w:t>
      </w:r>
      <w:r w:rsidR="005B227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B33F2">
        <w:rPr>
          <w:rFonts w:ascii="PT Astra Serif" w:hAnsi="PT Astra Serif"/>
          <w:sz w:val="28"/>
          <w:szCs w:val="28"/>
        </w:rPr>
        <w:t xml:space="preserve">Избрание главы </w:t>
      </w:r>
      <w:r>
        <w:rPr>
          <w:rFonts w:ascii="PT Astra Serif" w:hAnsi="PT Astra Serif"/>
          <w:sz w:val="28"/>
          <w:szCs w:val="28"/>
        </w:rPr>
        <w:t>Аткарского муниципального района</w:t>
      </w:r>
      <w:r w:rsidRPr="009B33F2">
        <w:rPr>
          <w:rFonts w:ascii="PT Astra Serif" w:hAnsi="PT Astra Serif"/>
          <w:sz w:val="28"/>
          <w:szCs w:val="28"/>
        </w:rPr>
        <w:t>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осуществляется не позднее чем через три месяца со дня истечения срока полномочий главы муниципального образования.».</w:t>
      </w:r>
    </w:p>
    <w:p w:rsidR="00F1190D" w:rsidRPr="00B22505" w:rsidRDefault="00F1190D" w:rsidP="002363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61C3">
        <w:rPr>
          <w:rFonts w:ascii="Times New Roman" w:hAnsi="Times New Roman" w:cs="Times New Roman"/>
          <w:sz w:val="28"/>
          <w:szCs w:val="28"/>
        </w:rPr>
        <w:t>2. Направить настоящее реш</w:t>
      </w:r>
      <w:r w:rsidRPr="00B22505">
        <w:rPr>
          <w:rFonts w:ascii="PT Astra Serif" w:hAnsi="PT Astra Serif" w:cs="Times New Roman"/>
          <w:sz w:val="28"/>
          <w:szCs w:val="28"/>
        </w:rPr>
        <w:t xml:space="preserve">ение на государственную регистрацию в Управление Министерства юстиции Российской Федерации по Саратовской области </w:t>
      </w:r>
    </w:p>
    <w:p w:rsidR="00F1190D" w:rsidRPr="00B22505" w:rsidRDefault="00F1190D" w:rsidP="002363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F1190D" w:rsidRPr="00B22505" w:rsidRDefault="00F1190D" w:rsidP="0023632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F1190D" w:rsidRDefault="00F1190D" w:rsidP="0023632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1190D" w:rsidRPr="00B22505" w:rsidRDefault="00F1190D" w:rsidP="0023632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1190D" w:rsidRPr="00B22505" w:rsidRDefault="00F1190D" w:rsidP="0023632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:rsidR="00F1190D" w:rsidRDefault="00F1190D" w:rsidP="0023632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1190D" w:rsidRPr="00B22505" w:rsidRDefault="00F1190D" w:rsidP="0023632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1190D" w:rsidRPr="00B22505" w:rsidRDefault="00F1190D" w:rsidP="0023632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 Аткарского</w:t>
      </w:r>
    </w:p>
    <w:p w:rsidR="00F1190D" w:rsidRPr="00FA1DEF" w:rsidRDefault="00F1190D" w:rsidP="00F1190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А.В. Брусьев</w:t>
      </w:r>
    </w:p>
    <w:sectPr w:rsidR="00F1190D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544D5"/>
    <w:rsid w:val="00162D11"/>
    <w:rsid w:val="0016355D"/>
    <w:rsid w:val="00165242"/>
    <w:rsid w:val="0016548D"/>
    <w:rsid w:val="001661C3"/>
    <w:rsid w:val="00166EFB"/>
    <w:rsid w:val="001832CD"/>
    <w:rsid w:val="00190AF0"/>
    <w:rsid w:val="00193AF9"/>
    <w:rsid w:val="001B0459"/>
    <w:rsid w:val="001B4880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86C1D"/>
    <w:rsid w:val="00594881"/>
    <w:rsid w:val="005B0686"/>
    <w:rsid w:val="005B227B"/>
    <w:rsid w:val="005B2EAE"/>
    <w:rsid w:val="005B3816"/>
    <w:rsid w:val="005B454A"/>
    <w:rsid w:val="005C6D57"/>
    <w:rsid w:val="005E1DC1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3F80"/>
    <w:rsid w:val="00906FE3"/>
    <w:rsid w:val="00915280"/>
    <w:rsid w:val="0092535A"/>
    <w:rsid w:val="0094513C"/>
    <w:rsid w:val="00946878"/>
    <w:rsid w:val="00955182"/>
    <w:rsid w:val="0096246E"/>
    <w:rsid w:val="00964066"/>
    <w:rsid w:val="009706F4"/>
    <w:rsid w:val="00970F66"/>
    <w:rsid w:val="009863DB"/>
    <w:rsid w:val="00987F8A"/>
    <w:rsid w:val="009B33F2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1881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A1C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190D"/>
    <w:rsid w:val="00F12D67"/>
    <w:rsid w:val="00F31F45"/>
    <w:rsid w:val="00F3511B"/>
    <w:rsid w:val="00F41440"/>
    <w:rsid w:val="00F470D4"/>
    <w:rsid w:val="00F545C9"/>
    <w:rsid w:val="00F55337"/>
    <w:rsid w:val="00F6258A"/>
    <w:rsid w:val="00F674FC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C51A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05EF-BFC5-4AAB-8740-ECB99C83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122</cp:revision>
  <cp:lastPrinted>2024-07-16T10:30:00Z</cp:lastPrinted>
  <dcterms:created xsi:type="dcterms:W3CDTF">2018-09-03T08:20:00Z</dcterms:created>
  <dcterms:modified xsi:type="dcterms:W3CDTF">2024-12-19T05:04:00Z</dcterms:modified>
</cp:coreProperties>
</file>